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60"/>
        </w:rPr>
        <w:t>PROYECTO STOCK</w:t>
      </w:r>
    </w:p>
    <w:p>
      <w:pPr>
        <w:jc w:val="center"/>
      </w:pPr>
      <w:r>
        <w:rPr>
          <w:rFonts w:ascii="Aptos Display" w:hAnsi="Aptos Display"/>
          <w:sz w:val="36"/>
        </w:rPr>
        <w:t>Bitácora de una experiencia de</w:t>
        <w:br/>
        <w:t>Spec-Driven Development asistido por IA</w:t>
      </w:r>
    </w:p>
    <w:p>
      <w:pPr>
        <w:spacing w:before="360"/>
        <w:jc w:val="center"/>
      </w:pPr>
      <w:r>
        <w:rPr>
          <w:b/>
          <w:sz w:val="22"/>
        </w:rPr>
        <w:t>Specs · Multi-LLM · Desarrollo · Testing · UAT · Aprendizajes</w:t>
      </w:r>
    </w:p>
    <w:p>
      <w:pPr>
        <w:spacing w:before="600"/>
        <w:jc w:val="center"/>
      </w:pPr>
      <w:r>
        <w:rPr>
          <w:b/>
        </w:rPr>
        <w:t>Caso de estudio — Sistema de Stock</w:t>
        <w:br/>
      </w:r>
      <w:r>
        <w:t>Versión 1.0 · 1 de octubre de 2026</w:t>
      </w:r>
    </w:p>
    <w:p/>
    <w:p>
      <w:pPr>
        <w:pStyle w:val="BitacoraQuote"/>
        <w:jc w:val="center"/>
      </w:pPr>
      <w:r>
        <w:t>El objetivo no fue solamente generar código con IA, sino experimentar cómo especificar, delegar, validar y corregir software real con asistencia de modelos LLM.</w:t>
      </w:r>
    </w:p>
    <w:p>
      <w:r>
        <w:br w:type="page"/>
      </w:r>
    </w:p>
    <w:p>
      <w:pPr>
        <w:pStyle w:val="Heading1"/>
      </w:pPr>
      <w:r>
        <w:t>1. Resumen ejecutivo</w:t>
      </w:r>
    </w:p>
    <w:p>
      <w:r>
        <w:t>El Proyecto Stock fue utilizado como laboratorio práctico para evaluar un flujo de desarrollo Spec-Driven Development (SDD) asistido por inteligencia artificial. El sistema se construyó como un monolito modular con frontend React + TypeScript, backend FastAPI + Python y PostgreSQL, incorporando autenticación, roles, catálogo, operaciones de stock e historial.</w:t>
      </w:r>
    </w:p>
    <w:p>
      <w:r>
        <w:t>El experimento evolucionó durante su ejecución. La estrategia inicial utilizaba microincrementos, gates muy frecuentes y revisión constante. Esa granularidad dio control, pero elevó el consumo de contexto, tokens y tiempo. El proceso se ajustó a bloques funcionales mayores: Spec aprobada → implementación → pruebas focalizadas → revisión humana → commit/push.</w:t>
      </w:r>
    </w:p>
    <w:p>
      <w:r>
        <w:t>La UAT final fue aprobada con observaciones menores. La prueba humana detectó además un bloqueo que las suites automáticas no habían expuesto en condiciones equivalentes al runtime: un error 500 al iniciar una Entrada por permisos insuficientes de PostgreSQL sobre pending_stock_movements. El defecto fue diagnosticado con el traceback real, corregido de forma reproducible, cubierto por una regresión focalizada y revalidado manualmente de punta a punta.</w:t>
      </w:r>
    </w:p>
    <w:p>
      <w:pPr>
        <w:pStyle w:val="Heading1"/>
      </w:pPr>
      <w:r>
        <w:t>2. Objetivo del experimento</w:t>
      </w:r>
    </w:p>
    <w:p>
      <w:r>
        <w:t>El objetivo fue comprobar hasta qué punto un sistema podía evolucionar desde especificaciones funcionales claras hacia software ejecutable, utilizando LLM como agentes de análisis e implementación sin delegar las decisiones funcionales finales.</w:t>
      </w:r>
    </w:p>
    <w:p>
      <w:pPr>
        <w:pStyle w:val="ListBullet"/>
      </w:pPr>
      <w:r>
        <w:t>Practicar el flujo Spec → Software.</w:t>
      </w:r>
    </w:p>
    <w:p>
      <w:pPr>
        <w:pStyle w:val="ListBullet"/>
      </w:pPr>
      <w:r>
        <w:t>Separar decisiones funcionales, implementación y validación.</w:t>
      </w:r>
    </w:p>
    <w:p>
      <w:pPr>
        <w:pStyle w:val="ListBullet"/>
      </w:pPr>
      <w:r>
        <w:t>Evaluar qué tareas justifican modelos de mayor capacidad y cuáles pueden resolverse con modelos más económicos.</w:t>
      </w:r>
    </w:p>
    <w:p>
      <w:pPr>
        <w:pStyle w:val="ListBullet"/>
      </w:pPr>
      <w:r>
        <w:t>Medir el valor real de tests automatizados, integración y UAT humana.</w:t>
      </w:r>
    </w:p>
    <w:p>
      <w:pPr>
        <w:pStyle w:val="ListBullet"/>
      </w:pPr>
      <w:r>
        <w:t>Obtener un sistema funcional que además pudiera convertirse en caso de portfolio.</w:t>
      </w:r>
    </w:p>
    <w:p>
      <w:pPr>
        <w:pStyle w:val="Heading1"/>
      </w:pPr>
      <w:r>
        <w:t>3. Arquitectura y alcance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Componente</w:t>
            </w:r>
          </w:p>
        </w:tc>
        <w:tc>
          <w:tcPr>
            <w:tcW w:type="dxa" w:w="4896"/>
          </w:tcPr>
          <w:p>
            <w:r>
              <w:t>Tecnología / decisión</w:t>
            </w:r>
          </w:p>
        </w:tc>
      </w:tr>
      <w:tr>
        <w:tc>
          <w:tcPr>
            <w:tcW w:type="dxa" w:w="4896"/>
          </w:tcPr>
          <w:p>
            <w:r>
              <w:t>Frontend</w:t>
            </w:r>
          </w:p>
        </w:tc>
        <w:tc>
          <w:tcPr>
            <w:tcW w:type="dxa" w:w="4896"/>
          </w:tcPr>
          <w:p>
            <w:r>
              <w:t>React + TypeScript</w:t>
            </w:r>
          </w:p>
        </w:tc>
      </w:tr>
      <w:tr>
        <w:tc>
          <w:tcPr>
            <w:tcW w:type="dxa" w:w="4896"/>
          </w:tcPr>
          <w:p>
            <w:r>
              <w:t>Backend</w:t>
            </w:r>
          </w:p>
        </w:tc>
        <w:tc>
          <w:tcPr>
            <w:tcW w:type="dxa" w:w="4896"/>
          </w:tcPr>
          <w:p>
            <w:r>
              <w:t>FastAPI + Python</w:t>
            </w:r>
          </w:p>
        </w:tc>
      </w:tr>
      <w:tr>
        <w:tc>
          <w:tcPr>
            <w:tcW w:type="dxa" w:w="4896"/>
          </w:tcPr>
          <w:p>
            <w:r>
              <w:t>Base de datos</w:t>
            </w:r>
          </w:p>
        </w:tc>
        <w:tc>
          <w:tcPr>
            <w:tcW w:type="dxa" w:w="4896"/>
          </w:tcPr>
          <w:p>
            <w:r>
              <w:t>PostgreSQL</w:t>
            </w:r>
          </w:p>
        </w:tc>
      </w:tr>
      <w:tr>
        <w:tc>
          <w:tcPr>
            <w:tcW w:type="dxa" w:w="4896"/>
          </w:tcPr>
          <w:p>
            <w:r>
              <w:t>Persistencia</w:t>
            </w:r>
          </w:p>
        </w:tc>
        <w:tc>
          <w:tcPr>
            <w:tcW w:type="dxa" w:w="4896"/>
          </w:tcPr>
          <w:p>
            <w:r>
              <w:t>SQLAlchemy + Alembic</w:t>
            </w:r>
          </w:p>
        </w:tc>
      </w:tr>
      <w:tr>
        <w:tc>
          <w:tcPr>
            <w:tcW w:type="dxa" w:w="4896"/>
          </w:tcPr>
          <w:p>
            <w:r>
              <w:t>Arquitectura</w:t>
            </w:r>
          </w:p>
        </w:tc>
        <w:tc>
          <w:tcPr>
            <w:tcW w:type="dxa" w:w="4896"/>
          </w:tcPr>
          <w:p>
            <w:r>
              <w:t>Monolito modular + REST</w:t>
            </w:r>
          </w:p>
        </w:tc>
      </w:tr>
      <w:tr>
        <w:tc>
          <w:tcPr>
            <w:tcW w:type="dxa" w:w="4896"/>
          </w:tcPr>
          <w:p>
            <w:r>
              <w:t>Seguridad</w:t>
            </w:r>
          </w:p>
        </w:tc>
        <w:tc>
          <w:tcPr>
            <w:tcW w:type="dxa" w:w="4896"/>
          </w:tcPr>
          <w:p>
            <w:r>
              <w:t>Sesión segura, CSRF, Argon2, roles</w:t>
            </w:r>
          </w:p>
        </w:tc>
      </w:tr>
      <w:tr>
        <w:tc>
          <w:tcPr>
            <w:tcW w:type="dxa" w:w="4896"/>
          </w:tcPr>
          <w:p>
            <w:r>
              <w:t>Testing</w:t>
            </w:r>
          </w:p>
        </w:tc>
        <w:tc>
          <w:tcPr>
            <w:tcW w:type="dxa" w:w="4896"/>
          </w:tcPr>
          <w:p>
            <w:r>
              <w:t>Unitario, integración PostgreSQL, frontend y E2E</w:t>
            </w:r>
          </w:p>
        </w:tc>
      </w:tr>
      <w:tr>
        <w:tc>
          <w:tcPr>
            <w:tcW w:type="dxa" w:w="4896"/>
          </w:tcPr>
          <w:p>
            <w:r>
              <w:t>Ejecución</w:t>
            </w:r>
          </w:p>
        </w:tc>
        <w:tc>
          <w:tcPr>
            <w:tcW w:type="dxa" w:w="4896"/>
          </w:tcPr>
          <w:p>
            <w:r>
              <w:t>Docker Compose</w:t>
            </w:r>
          </w:p>
        </w:tc>
      </w:tr>
    </w:tbl>
    <w:p>
      <w:pPr>
        <w:pStyle w:val="Heading1"/>
      </w:pPr>
      <w:r>
        <w:t>4. Mapa funcional por Specs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Spec</w:t>
            </w:r>
          </w:p>
        </w:tc>
        <w:tc>
          <w:tcPr>
            <w:tcW w:type="dxa" w:w="3264"/>
          </w:tcPr>
          <w:p>
            <w:r>
              <w:t>Módulo</w:t>
            </w:r>
          </w:p>
        </w:tc>
        <w:tc>
          <w:tcPr>
            <w:tcW w:type="dxa" w:w="3264"/>
          </w:tcPr>
          <w:p>
            <w:r>
              <w:t>Alcance</w:t>
            </w:r>
          </w:p>
        </w:tc>
      </w:tr>
      <w:tr>
        <w:tc>
          <w:tcPr>
            <w:tcW w:type="dxa" w:w="3264"/>
          </w:tcPr>
          <w:p>
            <w:r>
              <w:t>001</w:t>
            </w:r>
          </w:p>
        </w:tc>
        <w:tc>
          <w:tcPr>
            <w:tcW w:type="dxa" w:w="3264"/>
          </w:tcPr>
          <w:p>
            <w:r>
              <w:t>Categorías</w:t>
            </w:r>
          </w:p>
        </w:tc>
        <w:tc>
          <w:tcPr>
            <w:tcW w:type="dxa" w:w="3264"/>
          </w:tcPr>
          <w:p>
            <w:r>
              <w:t>Mantenimiento, activación/desactivación y auditoría.</w:t>
            </w:r>
          </w:p>
        </w:tc>
      </w:tr>
      <w:tr>
        <w:tc>
          <w:tcPr>
            <w:tcW w:type="dxa" w:w="3264"/>
          </w:tcPr>
          <w:p>
            <w:r>
              <w:t>002</w:t>
            </w:r>
          </w:p>
        </w:tc>
        <w:tc>
          <w:tcPr>
            <w:tcW w:type="dxa" w:w="3264"/>
          </w:tcPr>
          <w:p>
            <w:r>
              <w:t>Productos</w:t>
            </w:r>
          </w:p>
        </w:tc>
        <w:tc>
          <w:tcPr>
            <w:tcW w:type="dxa" w:w="3264"/>
          </w:tcPr>
          <w:p>
            <w:r>
              <w:t>Catálogo, stock mínimo, estado, integración e historial.</w:t>
            </w:r>
          </w:p>
        </w:tc>
      </w:tr>
      <w:tr>
        <w:tc>
          <w:tcPr>
            <w:tcW w:type="dxa" w:w="3264"/>
          </w:tcPr>
          <w:p>
            <w:r>
              <w:t>003</w:t>
            </w:r>
          </w:p>
        </w:tc>
        <w:tc>
          <w:tcPr>
            <w:tcW w:type="dxa" w:w="3264"/>
          </w:tcPr>
          <w:p>
            <w:r>
              <w:t>Usuarios y Roles</w:t>
            </w:r>
          </w:p>
        </w:tc>
        <w:tc>
          <w:tcPr>
            <w:tcW w:type="dxa" w:w="3264"/>
          </w:tcPr>
          <w:p>
            <w:r>
              <w:t>Administración de usuarios y permisos.</w:t>
            </w:r>
          </w:p>
        </w:tc>
      </w:tr>
      <w:tr>
        <w:tc>
          <w:tcPr>
            <w:tcW w:type="dxa" w:w="3264"/>
          </w:tcPr>
          <w:p>
            <w:r>
              <w:t>004</w:t>
            </w:r>
          </w:p>
        </w:tc>
        <w:tc>
          <w:tcPr>
            <w:tcW w:type="dxa" w:w="3264"/>
          </w:tcPr>
          <w:p>
            <w:r>
              <w:t>Login y Acceso</w:t>
            </w:r>
          </w:p>
        </w:tc>
        <w:tc>
          <w:tcPr>
            <w:tcW w:type="dxa" w:w="3264"/>
          </w:tcPr>
          <w:p>
            <w:r>
              <w:t>Autenticación, sesiones, CSRF y control de acceso.</w:t>
            </w:r>
          </w:p>
        </w:tc>
      </w:tr>
      <w:tr>
        <w:tc>
          <w:tcPr>
            <w:tcW w:type="dxa" w:w="3264"/>
          </w:tcPr>
          <w:p>
            <w:r>
              <w:t>005</w:t>
            </w:r>
          </w:p>
        </w:tc>
        <w:tc>
          <w:tcPr>
            <w:tcW w:type="dxa" w:w="3264"/>
          </w:tcPr>
          <w:p>
            <w:r>
              <w:t>Entradas</w:t>
            </w:r>
          </w:p>
        </w:tc>
        <w:tc>
          <w:tcPr>
            <w:tcW w:type="dxa" w:w="3264"/>
          </w:tcPr>
          <w:p>
            <w:r>
              <w:t>Ingreso de stock, pendiente, revisión, confirmación y cancelación.</w:t>
            </w:r>
          </w:p>
        </w:tc>
      </w:tr>
      <w:tr>
        <w:tc>
          <w:tcPr>
            <w:tcW w:type="dxa" w:w="3264"/>
          </w:tcPr>
          <w:p>
            <w:r>
              <w:t>006</w:t>
            </w:r>
          </w:p>
        </w:tc>
        <w:tc>
          <w:tcPr>
            <w:tcW w:type="dxa" w:w="3264"/>
          </w:tcPr>
          <w:p>
            <w:r>
              <w:t>Salidas</w:t>
            </w:r>
          </w:p>
        </w:tc>
        <w:tc>
          <w:tcPr>
            <w:tcW w:type="dxa" w:w="3264"/>
          </w:tcPr>
          <w:p>
            <w:r>
              <w:t>Egreso de stock, validación de disponibilidad y concurrencia.</w:t>
            </w:r>
          </w:p>
        </w:tc>
      </w:tr>
      <w:tr>
        <w:tc>
          <w:tcPr>
            <w:tcW w:type="dxa" w:w="3264"/>
          </w:tcPr>
          <w:p>
            <w:r>
              <w:t>007</w:t>
            </w:r>
          </w:p>
        </w:tc>
        <w:tc>
          <w:tcPr>
            <w:tcW w:type="dxa" w:w="3264"/>
          </w:tcPr>
          <w:p>
            <w:r>
              <w:t>Historial / Movimientos</w:t>
            </w:r>
          </w:p>
        </w:tc>
        <w:tc>
          <w:tcPr>
            <w:tcW w:type="dxa" w:w="3264"/>
          </w:tcPr>
          <w:p>
            <w:r>
              <w:t>Consulta unificada de Entradas y Salidas, filtros y detalle.</w:t>
            </w:r>
          </w:p>
        </w:tc>
      </w:tr>
    </w:tbl>
    <w:p>
      <w:pPr>
        <w:pStyle w:val="Heading1"/>
      </w:pPr>
      <w:r>
        <w:t>5. La metodología inicial</w:t>
      </w:r>
    </w:p>
    <w:p>
      <w:r>
        <w:t>El proceso comenzó con una aplicación muy granular de SDD: Specify, Clarify, Plan, Tasks e Implement, acompañados por subincrementos pequeños y gates de aprobación frecuentes. Esta estrategia fue útil para hacer explícitas las decisiones y reducir invenciones del agente, especialmente al comienzo.</w:t>
      </w:r>
    </w:p>
    <w:p>
      <w:r>
        <w:t>Sin embargo, a medida que el contrato funcional maduró, el costo de esa granularidad comenzó a superar su beneficio. Los agentes reinspeccionaban decisiones ya aprobadas, se repetían explicaciones y aumentaba el consumo de contexto. El proyecto mostró que la disciplina no debe confundirse con ceremonia.</w:t>
      </w:r>
    </w:p>
    <w:p>
      <w:pPr>
        <w:pStyle w:val="Heading1"/>
      </w:pPr>
      <w:r>
        <w:t>6. Cambio de estrategia</w:t>
      </w:r>
    </w:p>
    <w:p>
      <w:r>
        <w:t>Con un plazo acotado se adoptó un ciclo más eficiente, manteniendo los controles importantes:</w:t>
      </w:r>
    </w:p>
    <w:p>
      <w:pPr>
        <w:pStyle w:val="BitacoraQuote"/>
      </w:pPr>
      <w:r>
        <w:t>Spec funcional aprobada → implementación de un bloque mayor → tests focalizados → revisión humana → commit/push</w:t>
      </w:r>
    </w:p>
    <w:p>
      <w:r>
        <w:t>Desde ese momento el agente debía detenerse sólo ante una contradicción funcional real, una dependencia no resuelta o una decisión que correspondiera a la persona. Se evitó replanificar trabajo ya aprobado y se priorizó código, integración y evidencia.</w:t>
      </w:r>
    </w:p>
    <w:p>
      <w:pPr>
        <w:pStyle w:val="Heading1"/>
      </w:pPr>
      <w:r>
        <w:t>7. División del trabajo entre humano y LLM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Actor / modelo</w:t>
            </w:r>
          </w:p>
        </w:tc>
        <w:tc>
          <w:tcPr>
            <w:tcW w:type="dxa" w:w="4896"/>
          </w:tcPr>
          <w:p>
            <w:r>
              <w:t>Función principal</w:t>
            </w:r>
          </w:p>
        </w:tc>
      </w:tr>
      <w:tr>
        <w:tc>
          <w:tcPr>
            <w:tcW w:type="dxa" w:w="4896"/>
          </w:tcPr>
          <w:p>
            <w:r>
              <w:t>Humano</w:t>
            </w:r>
          </w:p>
        </w:tc>
        <w:tc>
          <w:tcPr>
            <w:tcW w:type="dxa" w:w="4896"/>
          </w:tcPr>
          <w:p>
            <w:r>
              <w:t>Decisiones funcionales, aprobación de alcance, revisión, UAT y criterio de aceptación.</w:t>
            </w:r>
          </w:p>
        </w:tc>
      </w:tr>
      <w:tr>
        <w:tc>
          <w:tcPr>
            <w:tcW w:type="dxa" w:w="4896"/>
          </w:tcPr>
          <w:p>
            <w:r>
              <w:t>ChatGPT / Valar</w:t>
            </w:r>
          </w:p>
        </w:tc>
        <w:tc>
          <w:tcPr>
            <w:tcW w:type="dxa" w:w="4896"/>
          </w:tcPr>
          <w:p>
            <w:r>
              <w:t>Análisis funcional, continuidad del proyecto, revisión de resultados, prompts y guía de UAT.</w:t>
            </w:r>
          </w:p>
        </w:tc>
      </w:tr>
      <w:tr>
        <w:tc>
          <w:tcPr>
            <w:tcW w:type="dxa" w:w="4896"/>
          </w:tcPr>
          <w:p>
            <w:r>
              <w:t>Sol</w:t>
            </w:r>
          </w:p>
        </w:tc>
        <w:tc>
          <w:tcPr>
            <w:tcW w:type="dxa" w:w="4896"/>
          </w:tcPr>
          <w:p>
            <w:r>
              <w:t>Implementación amplia, integración, tests y correcciones focalizadas.</w:t>
            </w:r>
          </w:p>
        </w:tc>
      </w:tr>
      <w:tr>
        <w:tc>
          <w:tcPr>
            <w:tcW w:type="dxa" w:w="4896"/>
          </w:tcPr>
          <w:p>
            <w:r>
              <w:t>Astra</w:t>
            </w:r>
          </w:p>
        </w:tc>
        <w:tc>
          <w:tcPr>
            <w:tcW w:type="dxa" w:w="4896"/>
          </w:tcPr>
          <w:p>
            <w:r>
              <w:t>Razonamiento de mayor complejidad cuando el costo estaba justificado.</w:t>
            </w:r>
          </w:p>
        </w:tc>
      </w:tr>
    </w:tbl>
    <w:p>
      <w:r>
        <w:t>Una conclusión práctica fue que el modelo más potente no debe utilizarse por defecto. La capacidad debe asignarse según la dificultad: razonamiento e integración compleja para modelos costosos; ejecución rutinaria para modelos más livianos; decisiones de negocio y aceptación bajo control humano.</w:t>
      </w:r>
    </w:p>
    <w:p>
      <w:pPr>
        <w:pStyle w:val="Heading1"/>
      </w:pPr>
      <w:r>
        <w:t>8. Evidencia por módulos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Módulo</w:t>
            </w:r>
          </w:p>
        </w:tc>
        <w:tc>
          <w:tcPr>
            <w:tcW w:type="dxa" w:w="4896"/>
          </w:tcPr>
          <w:p>
            <w:r>
              <w:t>Evidencia destacada</w:t>
            </w:r>
          </w:p>
        </w:tc>
      </w:tr>
      <w:tr>
        <w:tc>
          <w:tcPr>
            <w:tcW w:type="dxa" w:w="4896"/>
          </w:tcPr>
          <w:p>
            <w:r>
              <w:t>001 Categorías</w:t>
            </w:r>
          </w:p>
        </w:tc>
        <w:tc>
          <w:tcPr>
            <w:tcW w:type="dxa" w:w="4896"/>
          </w:tcPr>
          <w:p>
            <w:r>
              <w:t>25/25 tareas; backend focalizado 22 passed; E2E 8 passed; frontend 40/40.</w:t>
            </w:r>
          </w:p>
        </w:tc>
      </w:tr>
      <w:tr>
        <w:tc>
          <w:tcPr>
            <w:tcW w:type="dxa" w:w="4896"/>
          </w:tcPr>
          <w:p>
            <w:r>
              <w:t>002 Productos</w:t>
            </w:r>
          </w:p>
        </w:tc>
        <w:tc>
          <w:tcPr>
            <w:tcW w:type="dxa" w:w="4896"/>
          </w:tcPr>
          <w:p>
            <w:r>
              <w:t>28/28 tareas; backend PostgreSQL 41 passed; E2E 8 passed; frontend 43 passed.</w:t>
            </w:r>
          </w:p>
        </w:tc>
      </w:tr>
      <w:tr>
        <w:tc>
          <w:tcPr>
            <w:tcW w:type="dxa" w:w="4896"/>
          </w:tcPr>
          <w:p>
            <w:r>
              <w:t>005 Entradas</w:t>
            </w:r>
          </w:p>
        </w:tc>
        <w:tc>
          <w:tcPr>
            <w:tcW w:type="dxa" w:w="4896"/>
          </w:tcPr>
          <w:p>
            <w:r>
              <w:t>23/23 tareas; integración con guard de movimientos reales validada.</w:t>
            </w:r>
          </w:p>
        </w:tc>
      </w:tr>
      <w:tr>
        <w:tc>
          <w:tcPr>
            <w:tcW w:type="dxa" w:w="4896"/>
          </w:tcPr>
          <w:p>
            <w:r>
              <w:t>006 Salidas</w:t>
            </w:r>
          </w:p>
        </w:tc>
        <w:tc>
          <w:tcPr>
            <w:tcW w:type="dxa" w:w="4896"/>
          </w:tcPr>
          <w:p>
            <w:r>
              <w:t>19/19 tareas; PostgreSQL 92 passed; frontend 120/120; E2E completo 4 passed.</w:t>
            </w:r>
          </w:p>
        </w:tc>
      </w:tr>
      <w:tr>
        <w:tc>
          <w:tcPr>
            <w:tcW w:type="dxa" w:w="4896"/>
          </w:tcPr>
          <w:p>
            <w:r>
              <w:t>007 Historial</w:t>
            </w:r>
          </w:p>
        </w:tc>
        <w:tc>
          <w:tcPr>
            <w:tcW w:type="dxa" w:w="4896"/>
          </w:tcPr>
          <w:p>
            <w:r>
              <w:t>Backend PostgreSQL 39 passed; frontend 70 tests; TypeScript y Vite en verde; UAT integrada.</w:t>
            </w:r>
          </w:p>
        </w:tc>
      </w:tr>
    </w:tbl>
    <w:p>
      <w:pPr>
        <w:pStyle w:val="Heading1"/>
      </w:pPr>
      <w:r>
        <w:t>9. Lo que enseñaron los tests</w:t>
      </w:r>
    </w:p>
    <w:p>
      <w:pPr>
        <w:pStyle w:val="ListBullet"/>
      </w:pPr>
      <w:r>
        <w:t>CSRF puede responder 403 antes de que la ruta llegue a evaluar autenticación; algunos tests inicialmente esperaban 401.</w:t>
      </w:r>
    </w:p>
    <w:p>
      <w:pPr>
        <w:pStyle w:val="ListBullet"/>
      </w:pPr>
      <w:r>
        <w:t>Fixtures faltantes generaron errores de setup que parecían fallos funcionales, pero eran defectos de la prueba.</w:t>
      </w:r>
    </w:p>
    <w:p>
      <w:pPr>
        <w:pStyle w:val="ListBullet"/>
      </w:pPr>
      <w:r>
        <w:t>Un E2E intentó desactivar un Producto con rol Operador cuando la operación era exclusiva de Administrador; se corrigió el escenario, no la funcionalidad.</w:t>
      </w:r>
    </w:p>
    <w:p>
      <w:pPr>
        <w:pStyle w:val="ListBullet"/>
      </w:pPr>
      <w:r>
        <w:t>El login E2E necesitó esperar una señal observable de sesión lista; hacer clic en Login no implicaba que el estado de autenticación estuviera disponible.</w:t>
      </w:r>
    </w:p>
    <w:p>
      <w:pPr>
        <w:pStyle w:val="ListBullet"/>
      </w:pPr>
      <w:r>
        <w:t>Los locators de Playwright también forman parte del contrato de prueba y pueden ser ambiguos.</w:t>
      </w:r>
    </w:p>
    <w:p>
      <w:pPr>
        <w:pStyle w:val="ListBullet"/>
      </w:pPr>
      <w:r>
        <w:t>Tests antiguos que afirmaban que no existían rutas de Movimientos tuvieron que evolucionar cuando se implementó 007.</w:t>
      </w:r>
    </w:p>
    <w:p>
      <w:pPr>
        <w:pStyle w:val="Heading1"/>
      </w:pPr>
      <w:r>
        <w:t>10. El hallazgo clave de la UAT</w:t>
      </w:r>
    </w:p>
    <w:p>
      <w:r>
        <w:t>Durante la aceptación manual, al seleccionar un producto activo en Entradas apareció el mensaje “La operación no pudo completarse”. Aunque Cantidad, Motivo y Referencia fueran válidos, Revisar Entrada permanecía deshabilitado porque POST /api/v1/entries/begin devolvía 500 y no se obtenía pending_id.</w:t>
      </w:r>
    </w:p>
    <w:p>
      <w:pPr>
        <w:pStyle w:val="BitacoraQuote"/>
      </w:pPr>
      <w:r>
        <w:t>psycopg.errors.InsufficientPrivilege: permission denied for table pending_stock_movements</w:t>
      </w:r>
    </w:p>
    <w:p>
      <w:r>
        <w:t>El error ocurría en el SELECT ... FOR UPDATE utilizado por begin_entry. La investigación también dejó una lección metodológica: comprobar privilegios nominales de inventory_app no bastaba para demostrar los permisos del usuario efectivo utilizado por la conexión real del backend.</w:t>
      </w:r>
    </w:p>
    <w:p>
      <w:r>
        <w:t>Se añadió una regresión focalizada que ejecutó el caso con el rol runtime restringido. El resultado fue 1 passed, 9 deselected, con Alembic informando “No new upgrade operations detected”. El fix se aplicó luego al stack manual real y se repitió la operación completa.</w:t>
      </w:r>
    </w:p>
    <w:p>
      <w:pPr>
        <w:pStyle w:val="Heading1"/>
      </w:pPr>
      <w:r>
        <w:t>11. UAT final</w:t>
      </w:r>
    </w:p>
    <w:p>
      <w:r>
        <w:t>Resultado: UAT APROBADA CON OBSERVACIONES MENORES.</w:t>
      </w:r>
    </w:p>
    <w:p>
      <w:r>
        <w:t>El recorrido funcional principal se validó con datos reales:</w:t>
      </w:r>
    </w:p>
    <w:p>
      <w:pPr>
        <w:pStyle w:val="BitacoraQuote"/>
      </w:pPr>
      <w:r>
        <w:t>Producto stock 0 → Entrada +5 → stock 5 → Historial → Salida -2 → stock 3 → Historial → detalle → filtros → Producto → Ver movimientos</w:t>
      </w:r>
    </w:p>
    <w:p>
      <w:pPr>
        <w:pStyle w:val="ListBullet"/>
      </w:pPr>
      <w:r>
        <w:t>Categorías: detalle, baja, filtro de inactivas y reactivación.</w:t>
      </w:r>
    </w:p>
    <w:p>
      <w:pPr>
        <w:pStyle w:val="ListBullet"/>
      </w:pPr>
      <w:r>
        <w:t>Productos: alta, búsquedas, filtros, orden, edición, baja/reactivación y auditoría.</w:t>
      </w:r>
    </w:p>
    <w:p>
      <w:pPr>
        <w:pStyle w:val="ListBullet"/>
      </w:pPr>
      <w:r>
        <w:t>Entradas: selección, revisión, confirmación, persistencia del stock y movimiento.</w:t>
      </w:r>
    </w:p>
    <w:p>
      <w:pPr>
        <w:pStyle w:val="ListBullet"/>
      </w:pPr>
      <w:r>
        <w:t>Salidas: stock observado, revisión, confirmación y decremento correcto.</w:t>
      </w:r>
    </w:p>
    <w:p>
      <w:pPr>
        <w:pStyle w:val="ListBullet"/>
      </w:pPr>
      <w:r>
        <w:t>Historial: Entrada y Salida unificadas, detalle, orden cronológico, filtros combinados, referencia y Actualizar preservando filtros/orden.</w:t>
      </w:r>
    </w:p>
    <w:p>
      <w:pPr>
        <w:pStyle w:val="ListBullet"/>
      </w:pPr>
      <w:r>
        <w:t>Integración Producto → Ver movimientos con identidad exacta del producto.</w:t>
      </w:r>
    </w:p>
    <w:p>
      <w:r>
        <w:t>Observación no bloqueante: mejorar la experiencia de validación de algunos inputs de Productos, especialmente Stock mínimo y la respuesta visual ante caracteres inválidos. Se decidió postergar este hardening de frontend sin invalidar la aceptación funcional.</w:t>
      </w:r>
    </w:p>
    <w:p>
      <w:pPr>
        <w:pStyle w:val="Heading1"/>
      </w:pPr>
      <w:r>
        <w:t>12. Aprendizajes principales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Aprendizaje</w:t>
            </w:r>
          </w:p>
        </w:tc>
        <w:tc>
          <w:tcPr>
            <w:tcW w:type="dxa" w:w="4896"/>
          </w:tcPr>
          <w:p>
            <w:r>
              <w:t>Conclusión</w:t>
            </w:r>
          </w:p>
        </w:tc>
      </w:tr>
      <w:tr>
        <w:tc>
          <w:tcPr>
            <w:tcW w:type="dxa" w:w="4896"/>
          </w:tcPr>
          <w:p>
            <w:r>
              <w:t>Especificar antes de implementar</w:t>
            </w:r>
          </w:p>
        </w:tc>
        <w:tc>
          <w:tcPr>
            <w:tcW w:type="dxa" w:w="4896"/>
          </w:tcPr>
          <w:p>
            <w:r>
              <w:t>Reduce invenciones y vuelve más útil al agente ejecutor.</w:t>
            </w:r>
          </w:p>
        </w:tc>
      </w:tr>
      <w:tr>
        <w:tc>
          <w:tcPr>
            <w:tcW w:type="dxa" w:w="4896"/>
          </w:tcPr>
          <w:p>
            <w:r>
              <w:t>Clarify debe resolver ambigüedad</w:t>
            </w:r>
          </w:p>
        </w:tc>
        <w:tc>
          <w:tcPr>
            <w:tcW w:type="dxa" w:w="4896"/>
          </w:tcPr>
          <w:p>
            <w:r>
              <w:t>Si no cambia una decisión, puede transformarse en ceremonia.</w:t>
            </w:r>
          </w:p>
        </w:tc>
      </w:tr>
      <w:tr>
        <w:tc>
          <w:tcPr>
            <w:tcW w:type="dxa" w:w="4896"/>
          </w:tcPr>
          <w:p>
            <w:r>
              <w:t>El contexto también es un recurso</w:t>
            </w:r>
          </w:p>
        </w:tc>
        <w:tc>
          <w:tcPr>
            <w:tcW w:type="dxa" w:w="4896"/>
          </w:tcPr>
          <w:p>
            <w:r>
              <w:t>Reanalizar trabajo aprobado consume tiempo y tokens sin aumentar calidad.</w:t>
            </w:r>
          </w:p>
        </w:tc>
      </w:tr>
      <w:tr>
        <w:tc>
          <w:tcPr>
            <w:tcW w:type="dxa" w:w="4896"/>
          </w:tcPr>
          <w:p>
            <w:r>
              <w:t>Los tests también pueden equivocarse</w:t>
            </w:r>
          </w:p>
        </w:tc>
        <w:tc>
          <w:tcPr>
            <w:tcW w:type="dxa" w:w="4896"/>
          </w:tcPr>
          <w:p>
            <w:r>
              <w:t>Una prueba puede codificar una suposición temporal o un escenario incorrecto.</w:t>
            </w:r>
          </w:p>
        </w:tc>
      </w:tr>
      <w:tr>
        <w:tc>
          <w:tcPr>
            <w:tcW w:type="dxa" w:w="4896"/>
          </w:tcPr>
          <w:p>
            <w:r>
              <w:t>Verde no significa producción</w:t>
            </w:r>
          </w:p>
        </w:tc>
        <w:tc>
          <w:tcPr>
            <w:tcW w:type="dxa" w:w="4896"/>
          </w:tcPr>
          <w:p>
            <w:r>
              <w:t>Las condiciones del runtime —usuarios, permisos, configuración— deben estar representadas.</w:t>
            </w:r>
          </w:p>
        </w:tc>
      </w:tr>
      <w:tr>
        <w:tc>
          <w:tcPr>
            <w:tcW w:type="dxa" w:w="4896"/>
          </w:tcPr>
          <w:p>
            <w:r>
              <w:t>La UAT humana sigue siendo esencial</w:t>
            </w:r>
          </w:p>
        </w:tc>
        <w:tc>
          <w:tcPr>
            <w:tcW w:type="dxa" w:w="4896"/>
          </w:tcPr>
          <w:p>
            <w:r>
              <w:t>Encontró un defecto crítico que no había aparecido en las suites existentes.</w:t>
            </w:r>
          </w:p>
        </w:tc>
      </w:tr>
      <w:tr>
        <w:tc>
          <w:tcPr>
            <w:tcW w:type="dxa" w:w="4896"/>
          </w:tcPr>
          <w:p>
            <w:r>
              <w:t>Routing de modelos</w:t>
            </w:r>
          </w:p>
        </w:tc>
        <w:tc>
          <w:tcPr>
            <w:tcW w:type="dxa" w:w="4896"/>
          </w:tcPr>
          <w:p>
            <w:r>
              <w:t>Usar capacidad costosa sólo donde el problema realmente la necesita.</w:t>
            </w:r>
          </w:p>
        </w:tc>
      </w:tr>
      <w:tr>
        <w:tc>
          <w:tcPr>
            <w:tcW w:type="dxa" w:w="4896"/>
          </w:tcPr>
          <w:p>
            <w:r>
              <w:t>El humano conserva el gobierno</w:t>
            </w:r>
          </w:p>
        </w:tc>
        <w:tc>
          <w:tcPr>
            <w:tcW w:type="dxa" w:w="4896"/>
          </w:tcPr>
          <w:p>
            <w:r>
              <w:t>Los LLM implementan y razonan; las decisiones funcionales y la aceptación siguen siendo humanas.</w:t>
            </w:r>
          </w:p>
        </w:tc>
      </w:tr>
    </w:tbl>
    <w:p>
      <w:pPr>
        <w:pStyle w:val="Heading1"/>
      </w:pPr>
      <w:r>
        <w:t>13. Eficiencia y consumo de modelos</w:t>
      </w:r>
    </w:p>
    <w:p>
      <w:r>
        <w:t>El proyecto permitió observar un costo que no aparece en los diagramas de arquitectura: el costo de contexto. Los microincrementos y las reinspecciones frecuentes consumían capacidad sin aportar siempre nueva evidencia. La estrategia posterior reservó los modelos de mayor capacidad para bloqueos, integración y razonamiento difícil.</w:t>
      </w:r>
    </w:p>
    <w:p>
      <w:r>
        <w:t>Durante el bloqueo final de Entradas, con la cuota de Sol casi agotada, se decidió utilizarla únicamente para diagnóstico y fix del problema crítico. La ejecución de comandos, revisión de evidencias y UAT se mantuvieron fuera de ese consumo. Esta separación se convirtió en parte del aprendizaje del experimento.</w:t>
      </w:r>
    </w:p>
    <w:p>
      <w:pPr>
        <w:pStyle w:val="Heading1"/>
      </w:pPr>
      <w:r>
        <w:t>14. Estado al cierre de esta versión</w:t>
      </w:r>
    </w:p>
    <w:p>
      <w:pPr>
        <w:pStyle w:val="ListBullet"/>
      </w:pPr>
      <w:r>
        <w:t>Funcionalidad principal: validada.</w:t>
      </w:r>
    </w:p>
    <w:p>
      <w:pPr>
        <w:pStyle w:val="ListBullet"/>
      </w:pPr>
      <w:r>
        <w:t>UAT: aprobada con observaciones menores.</w:t>
      </w:r>
    </w:p>
    <w:p>
      <w:pPr>
        <w:pStyle w:val="ListBullet"/>
      </w:pPr>
      <w:r>
        <w:t>Bloqueante de Entradas: corregido y revalidado en el stack real.</w:t>
      </w:r>
    </w:p>
    <w:p>
      <w:pPr>
        <w:pStyle w:val="ListBullet"/>
      </w:pPr>
      <w:r>
        <w:t>Hardening frontend: pendiente como mejora no bloqueante.</w:t>
      </w:r>
    </w:p>
    <w:p>
      <w:pPr>
        <w:pStyle w:val="ListBullet"/>
      </w:pPr>
      <w:r>
        <w:t>Próxima extensión posible: conexión de PostgreSQL con Power BI para explotación analítica.</w:t>
      </w:r>
    </w:p>
    <w:p>
      <w:pPr>
        <w:pStyle w:val="ListBullet"/>
      </w:pPr>
      <w:r>
        <w:t>Próximo experimento metodológico: invertir el flujo y trabajar Software existente → comprensión → ingeniería inversa → Specs reconstruidas → modernización.</w:t>
      </w:r>
    </w:p>
    <w:p>
      <w:pPr>
        <w:pStyle w:val="Heading1"/>
      </w:pPr>
      <w:r>
        <w:t>15. Conclusión</w:t>
      </w:r>
    </w:p>
    <w:p>
      <w:r>
        <w:t>El resultado más importante del Proyecto Stock no es únicamente que el sistema funcione. El valor del experimento está en haber observado cómo cambia el proceso de ingeniería cuando participan LLM: qué conviene especificar, qué delegar, cuándo detener al agente, cómo diseñar evidencia y dónde sigue siendo indispensable la validación humana.</w:t>
      </w:r>
    </w:p>
    <w:p>
      <w:pPr>
        <w:pStyle w:val="BitacoraQuote"/>
      </w:pPr>
      <w:r>
        <w:t>La IA aceleró la construcción; las Specs dieron dirección; los tests dieron evidencia; la UAT mostró la realidad.</w:t>
      </w:r>
    </w:p>
    <w:p>
      <w:r>
        <w:t>Esta bitácora queda como base para una versión posterior de portfolio, material de Vytria y contenidos específicos sobre SDD, testing, routing de modelos y desarrollo asistido por IA.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Bitácora de experiencia · Octubre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sz w:val="16"/>
      </w:rPr>
      <w:t>PROYECTO STOCK · SDD ASISTIDO POR 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4F81BD" w:themeColor="accent1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itacoraQuote">
    <w:name w:val="Bitacora Quote"/>
    <w:pPr>
      <w:spacing w:before="160" w:after="160"/>
      <w:ind w:left="504" w:right="360"/>
    </w:pPr>
    <w:rPr>
      <w:rFonts w:ascii="Aptos" w:hAnsi="Aptos"/>
      <w:i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